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R3-240712</w:t>
      </w:r>
    </w:p>
    <w:p>
      <w:pPr>
        <w:pStyle w:val="82"/>
        <w:tabs>
          <w:tab w:val="right" w:pos="9639"/>
        </w:tabs>
        <w:spacing w:after="0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Feb - 1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sz w:val="24"/>
          <w:lang w:val="en-US" w:eastAsia="zh-CN"/>
        </w:rPr>
        <w:t xml:space="preserve"> March</w:t>
      </w:r>
      <w:r>
        <w:rPr>
          <w:rFonts w:hint="eastAsia" w:eastAsia="宋体"/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 Athens, Greece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38.413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bookmarkStart w:id="52" w:name="_GoBack"/>
            <w:r>
              <w:rPr>
                <w:rFonts w:hint="eastAsia" w:eastAsia="宋体"/>
                <w:b/>
                <w:sz w:val="28"/>
                <w:lang w:val="en-US" w:eastAsia="zh-CN"/>
              </w:rPr>
              <w:t>1117</w:t>
            </w:r>
            <w:bookmarkEnd w:id="52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MDT enhancements to support NPN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2024-2-18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2"/>
              <w:tabs>
                <w:tab w:val="left" w:pos="950"/>
              </w:tabs>
              <w:spacing w:after="0"/>
              <w:ind w:left="283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current ASN.1,The PLMN ID shall be present for any CAG configured in CAG List when the choice of </w:t>
            </w:r>
            <w:r>
              <w:rPr>
                <w:rFonts w:hint="eastAsia"/>
                <w:i/>
                <w:iCs/>
                <w:lang w:val="en-US" w:eastAsia="zh-CN"/>
              </w:rPr>
              <w:t>PNI-NPN Based MDT</w:t>
            </w:r>
            <w:r>
              <w:rPr>
                <w:rFonts w:hint="eastAsia"/>
                <w:lang w:val="en-US" w:eastAsia="zh-CN"/>
              </w:rPr>
              <w:t xml:space="preserve"> is chosen for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Area Scope of MDT</w:t>
            </w:r>
            <w:r>
              <w:rPr>
                <w:rFonts w:hint="eastAsia"/>
                <w:lang w:val="en-US" w:eastAsia="zh-CN"/>
              </w:rPr>
              <w:t xml:space="preserve"> IE. </w:t>
            </w:r>
          </w:p>
          <w:p>
            <w:pPr>
              <w:pStyle w:val="65"/>
              <w:rPr>
                <w:snapToGrid w:val="0"/>
                <w:shd w:val="clear" w:color="FFFFFF" w:fill="D9D9D9"/>
                <w:lang w:val="en-US" w:eastAsia="zh-CN"/>
              </w:rPr>
            </w:pPr>
            <w:r>
              <w:rPr>
                <w:rFonts w:hint="eastAsia"/>
                <w:snapToGrid w:val="0"/>
                <w:shd w:val="clear" w:color="FFFFFF" w:fill="D9D9D9"/>
                <w:lang w:val="en-US" w:eastAsia="zh-CN"/>
              </w:rPr>
              <w:t xml:space="preserve">PNI-NPNBasedMDT-Item </w:t>
            </w:r>
            <w:r>
              <w:rPr>
                <w:snapToGrid w:val="0"/>
                <w:shd w:val="clear" w:color="FFFFFF" w:fill="D9D9D9"/>
                <w:lang w:val="en-US" w:eastAsia="zh-CN"/>
              </w:rPr>
              <w:t>::= SEQUENCE {</w:t>
            </w:r>
          </w:p>
          <w:p>
            <w:pPr>
              <w:pStyle w:val="65"/>
              <w:rPr>
                <w:snapToGrid w:val="0"/>
                <w:shd w:val="clear" w:color="FFFFFF" w:fill="D9D9D9"/>
                <w:lang w:val="en-US" w:eastAsia="zh-CN"/>
              </w:rPr>
            </w:pPr>
            <w:r>
              <w:rPr>
                <w:snapToGrid w:val="0"/>
                <w:shd w:val="clear" w:color="FFFFFF" w:fill="D9D9D9"/>
                <w:lang w:val="en-US" w:eastAsia="zh-CN"/>
              </w:rPr>
              <w:tab/>
            </w:r>
            <w:r>
              <w:rPr>
                <w:rFonts w:hint="eastAsia"/>
                <w:snapToGrid w:val="0"/>
                <w:shd w:val="clear" w:color="FFFFFF" w:fill="D9D9D9"/>
                <w:lang w:val="en-US" w:eastAsia="zh-CN"/>
              </w:rPr>
              <w:t>plmn</w:t>
            </w:r>
            <w:r>
              <w:rPr>
                <w:snapToGrid w:val="0"/>
                <w:shd w:val="clear" w:color="FFFFFF" w:fill="D9D9D9"/>
                <w:lang w:val="en-US" w:eastAsia="zh-CN"/>
              </w:rPr>
              <w:t>ID</w:t>
            </w:r>
            <w:r>
              <w:rPr>
                <w:snapToGrid w:val="0"/>
                <w:shd w:val="clear" w:color="FFFFFF" w:fill="D9D9D9"/>
                <w:lang w:val="en-US" w:eastAsia="zh-CN"/>
              </w:rPr>
              <w:tab/>
            </w:r>
            <w:r>
              <w:rPr>
                <w:snapToGrid w:val="0"/>
                <w:shd w:val="clear" w:color="FFFFFF" w:fill="D9D9D9"/>
                <w:lang w:val="en-US" w:eastAsia="zh-CN"/>
              </w:rPr>
              <w:tab/>
            </w:r>
            <w:r>
              <w:rPr>
                <w:snapToGrid w:val="0"/>
                <w:shd w:val="clear" w:color="FFFFFF" w:fill="D9D9D9"/>
                <w:lang w:val="en-US" w:eastAsia="zh-CN"/>
              </w:rPr>
              <w:tab/>
            </w:r>
            <w:r>
              <w:rPr>
                <w:snapToGrid w:val="0"/>
                <w:shd w:val="clear" w:color="FFFFFF" w:fill="D9D9D9"/>
                <w:lang w:val="en-US" w:eastAsia="zh-CN"/>
              </w:rPr>
              <w:tab/>
            </w:r>
            <w:r>
              <w:rPr>
                <w:snapToGrid w:val="0"/>
                <w:shd w:val="clear" w:color="FFFFFF" w:fill="D9D9D9"/>
                <w:lang w:val="en-US" w:eastAsia="zh-CN"/>
              </w:rPr>
              <w:t>PLMNIdentity,</w:t>
            </w:r>
          </w:p>
          <w:p>
            <w:pPr>
              <w:pStyle w:val="65"/>
              <w:rPr>
                <w:snapToGrid w:val="0"/>
                <w:shd w:val="clear" w:color="FFFFFF" w:fill="D9D9D9"/>
                <w:lang w:val="en-US" w:eastAsia="zh-CN"/>
              </w:rPr>
            </w:pPr>
            <w:r>
              <w:rPr>
                <w:snapToGrid w:val="0"/>
                <w:shd w:val="clear" w:color="FFFFFF" w:fill="D9D9D9"/>
                <w:lang w:val="en-US" w:eastAsia="zh-CN"/>
              </w:rPr>
              <w:tab/>
            </w:r>
            <w:r>
              <w:rPr>
                <w:rFonts w:hint="eastAsia"/>
                <w:snapToGrid w:val="0"/>
                <w:shd w:val="clear" w:color="FFFFFF" w:fill="D9D9D9"/>
                <w:lang w:val="en-US" w:eastAsia="zh-CN"/>
              </w:rPr>
              <w:t>cAGID</w:t>
            </w:r>
            <w:r>
              <w:rPr>
                <w:snapToGrid w:val="0"/>
                <w:shd w:val="clear" w:color="FFFFFF" w:fill="D9D9D9"/>
                <w:lang w:val="en-US" w:eastAsia="zh-CN"/>
              </w:rPr>
              <w:tab/>
            </w:r>
            <w:r>
              <w:rPr>
                <w:snapToGrid w:val="0"/>
                <w:shd w:val="clear" w:color="FFFFFF" w:fill="D9D9D9"/>
                <w:lang w:val="en-US" w:eastAsia="zh-CN"/>
              </w:rPr>
              <w:tab/>
            </w:r>
            <w:r>
              <w:rPr>
                <w:snapToGrid w:val="0"/>
                <w:shd w:val="clear" w:color="FFFFFF" w:fill="D9D9D9"/>
                <w:lang w:val="en-US" w:eastAsia="zh-CN"/>
              </w:rPr>
              <w:tab/>
            </w:r>
            <w:r>
              <w:rPr>
                <w:snapToGrid w:val="0"/>
                <w:shd w:val="clear" w:color="FFFFFF" w:fill="D9D9D9"/>
                <w:lang w:val="en-US" w:eastAsia="zh-CN"/>
              </w:rPr>
              <w:tab/>
            </w:r>
            <w:r>
              <w:rPr>
                <w:rFonts w:hint="eastAsia"/>
                <w:snapToGrid w:val="0"/>
                <w:shd w:val="clear" w:color="FFFFFF" w:fill="D9D9D9"/>
                <w:lang w:val="en-US" w:eastAsia="zh-CN"/>
              </w:rPr>
              <w:t>CAG-ID</w:t>
            </w:r>
            <w:r>
              <w:rPr>
                <w:snapToGrid w:val="0"/>
                <w:shd w:val="clear" w:color="FFFFFF" w:fill="D9D9D9"/>
                <w:lang w:val="en-US" w:eastAsia="zh-CN"/>
              </w:rPr>
              <w:t>,</w:t>
            </w:r>
          </w:p>
          <w:p>
            <w:pPr>
              <w:pStyle w:val="65"/>
              <w:rPr>
                <w:snapToGrid w:val="0"/>
                <w:shd w:val="clear" w:color="FFFFFF" w:fill="D9D9D9"/>
                <w:lang w:val="en-US"/>
              </w:rPr>
            </w:pPr>
            <w:r>
              <w:rPr>
                <w:snapToGrid w:val="0"/>
                <w:shd w:val="clear" w:color="FFFFFF" w:fill="D9D9D9"/>
                <w:lang w:val="en-US"/>
              </w:rPr>
              <w:tab/>
            </w:r>
            <w:r>
              <w:rPr>
                <w:snapToGrid w:val="0"/>
                <w:shd w:val="clear" w:color="FFFFFF" w:fill="D9D9D9"/>
                <w:lang w:val="en-US"/>
              </w:rPr>
              <w:t>iE-Extensions</w:t>
            </w:r>
            <w:r>
              <w:rPr>
                <w:snapToGrid w:val="0"/>
                <w:shd w:val="clear" w:color="FFFFFF" w:fill="D9D9D9"/>
                <w:lang w:val="en-US"/>
              </w:rPr>
              <w:tab/>
            </w:r>
            <w:r>
              <w:rPr>
                <w:snapToGrid w:val="0"/>
                <w:shd w:val="clear" w:color="FFFFFF" w:fill="D9D9D9"/>
                <w:lang w:val="en-US"/>
              </w:rPr>
              <w:tab/>
            </w:r>
            <w:r>
              <w:rPr>
                <w:snapToGrid w:val="0"/>
                <w:shd w:val="clear" w:color="FFFFFF" w:fill="D9D9D9"/>
                <w:lang w:val="en-US"/>
              </w:rPr>
              <w:t>ProtocolExtensionContainer { {</w:t>
            </w:r>
            <w:r>
              <w:rPr>
                <w:rFonts w:hint="eastAsia"/>
                <w:snapToGrid w:val="0"/>
                <w:shd w:val="clear" w:color="FFFFFF" w:fill="D9D9D9"/>
                <w:lang w:val="en-US" w:eastAsia="zh-CN"/>
              </w:rPr>
              <w:t>PNI-NPNBasedMDT-Item</w:t>
            </w:r>
            <w:r>
              <w:rPr>
                <w:snapToGrid w:val="0"/>
                <w:shd w:val="clear" w:color="FFFFFF" w:fill="D9D9D9"/>
                <w:lang w:val="en-US"/>
              </w:rPr>
              <w:t>-ExtIEs} }</w:t>
            </w:r>
            <w:r>
              <w:rPr>
                <w:snapToGrid w:val="0"/>
                <w:shd w:val="clear" w:color="FFFFFF" w:fill="D9D9D9"/>
                <w:lang w:val="en-US"/>
              </w:rPr>
              <w:tab/>
            </w:r>
            <w:r>
              <w:rPr>
                <w:snapToGrid w:val="0"/>
                <w:shd w:val="clear" w:color="FFFFFF" w:fill="D9D9D9"/>
                <w:lang w:val="en-US"/>
              </w:rPr>
              <w:t>OPTIONAL,</w:t>
            </w:r>
          </w:p>
          <w:p>
            <w:pPr>
              <w:pStyle w:val="65"/>
              <w:rPr>
                <w:snapToGrid w:val="0"/>
                <w:shd w:val="clear" w:color="FFFFFF" w:fill="D9D9D9"/>
                <w:lang w:val="en-US" w:eastAsia="zh-CN"/>
              </w:rPr>
            </w:pPr>
            <w:r>
              <w:rPr>
                <w:snapToGrid w:val="0"/>
                <w:shd w:val="clear" w:color="FFFFFF" w:fill="D9D9D9"/>
                <w:lang w:val="en-US"/>
              </w:rPr>
              <w:tab/>
            </w:r>
            <w:r>
              <w:rPr>
                <w:snapToGrid w:val="0"/>
                <w:shd w:val="clear" w:color="FFFFFF" w:fill="D9D9D9"/>
                <w:lang w:val="en-US"/>
              </w:rPr>
              <w:t>...</w:t>
            </w:r>
          </w:p>
          <w:p>
            <w:pPr>
              <w:pStyle w:val="65"/>
              <w:rPr>
                <w:snapToGrid w:val="0"/>
                <w:shd w:val="clear" w:color="FFFFFF" w:fill="D9D9D9"/>
                <w:lang w:val="en-US" w:eastAsia="zh-CN"/>
              </w:rPr>
            </w:pPr>
            <w:r>
              <w:rPr>
                <w:snapToGrid w:val="0"/>
                <w:shd w:val="clear" w:color="FFFFFF" w:fill="D9D9D9"/>
                <w:lang w:val="en-US" w:eastAsia="zh-CN"/>
              </w:rPr>
              <w:t>}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However, in current tabular, the </w:t>
            </w:r>
            <w:r>
              <w:rPr>
                <w:rFonts w:hint="eastAsia" w:eastAsia="宋体"/>
                <w:lang w:val="en-US" w:eastAsia="zh-CN"/>
              </w:rPr>
              <w:t xml:space="preserve">Presence condition for PLMN ID IE in </w:t>
            </w:r>
            <w:r>
              <w:rPr>
                <w:rFonts w:hint="eastAsia"/>
                <w:lang w:val="en-US" w:eastAsia="zh-CN"/>
              </w:rPr>
              <w:t xml:space="preserve">the choice of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PNI-NPN Based MDT 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>in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Area Scope of MDT</w:t>
            </w:r>
            <w:r>
              <w:rPr>
                <w:rFonts w:hint="eastAsia"/>
                <w:lang w:val="en-US" w:eastAsia="zh-CN"/>
              </w:rPr>
              <w:t xml:space="preserve"> IE is missing.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"M" Presence condition for PLMN ID IE in </w:t>
            </w:r>
            <w:r>
              <w:rPr>
                <w:rFonts w:hint="eastAsia"/>
                <w:lang w:val="en-US" w:eastAsia="zh-CN"/>
              </w:rPr>
              <w:t xml:space="preserve">the choice of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PNI-NPN Based MDT 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>in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Area Scope of MDT</w:t>
            </w:r>
            <w:r>
              <w:rPr>
                <w:rFonts w:hint="eastAsia"/>
                <w:lang w:val="en-US" w:eastAsia="zh-CN"/>
              </w:rPr>
              <w:t xml:space="preserve"> IE in </w:t>
            </w:r>
            <w:r>
              <w:rPr>
                <w:rFonts w:hint="eastAsia" w:eastAsia="宋体"/>
                <w:lang w:val="en-US" w:eastAsia="zh-CN"/>
              </w:rPr>
              <w:t>tabular to align with ASN.1.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5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definition of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PNI-NPN Based MDT 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>in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Area Scope of MDT</w:t>
            </w:r>
            <w:r>
              <w:rPr>
                <w:rFonts w:hint="eastAsia"/>
                <w:lang w:val="en-US" w:eastAsia="zh-CN"/>
              </w:rPr>
              <w:t xml:space="preserve"> IE is not aligned with ASN.1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9.3.1.169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</w:t>
            </w:r>
            <w:r>
              <w:rPr>
                <w:rFonts w:hint="eastAsia" w:eastAsia="宋体"/>
                <w:lang w:val="en-US" w:eastAsia="zh-CN"/>
              </w:rPr>
              <w:t>S/CR ...CR...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>
      <w:bookmarkStart w:id="1" w:name="_Toc105511069"/>
      <w:bookmarkStart w:id="2" w:name="_Toc99038675"/>
      <w:bookmarkStart w:id="3" w:name="_Toc106110141"/>
      <w:bookmarkStart w:id="4" w:name="_Toc105927601"/>
      <w:bookmarkStart w:id="5" w:name="_Toc113835578"/>
      <w:bookmarkStart w:id="6" w:name="_Toc99730938"/>
      <w:r>
        <w:br w:type="page"/>
      </w:r>
    </w:p>
    <w:p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/>
        </w:rPr>
      </w:pPr>
      <w:r>
        <w:rPr>
          <w:rFonts w:hint="eastAsia"/>
          <w:i/>
        </w:rPr>
        <w:t>Changes Start</w:t>
      </w:r>
      <w:bookmarkEnd w:id="1"/>
      <w:bookmarkEnd w:id="2"/>
      <w:bookmarkEnd w:id="3"/>
      <w:bookmarkEnd w:id="4"/>
      <w:bookmarkEnd w:id="5"/>
      <w:bookmarkEnd w:id="6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7" w:name="_Hlk44338765"/>
      <w:bookmarkStart w:id="8" w:name="_Toc5641443"/>
      <w:bookmarkStart w:id="9" w:name="_Toc112756892"/>
      <w:bookmarkStart w:id="10" w:name="_Toc45720689"/>
      <w:bookmarkStart w:id="11" w:name="_Toc107409703"/>
      <w:bookmarkStart w:id="12" w:name="_Toc99662374"/>
      <w:bookmarkStart w:id="13" w:name="_Toc105174247"/>
      <w:bookmarkStart w:id="14" w:name="_Toc88652383"/>
      <w:bookmarkStart w:id="15" w:name="_Toc51746160"/>
      <w:bookmarkStart w:id="16" w:name="_Toc73982294"/>
      <w:bookmarkStart w:id="17" w:name="_Toc45798567"/>
      <w:bookmarkStart w:id="18" w:name="_Toc105152441"/>
      <w:bookmarkStart w:id="19" w:name="_Toc99123569"/>
      <w:bookmarkStart w:id="20" w:name="_Toc155944660"/>
      <w:bookmarkStart w:id="21" w:name="_Toc45897956"/>
      <w:bookmarkStart w:id="22" w:name="_Toc97891426"/>
      <w:bookmarkStart w:id="23" w:name="_Toc106109245"/>
      <w:bookmarkStart w:id="24" w:name="_Toc45652437"/>
      <w:bookmarkStart w:id="25" w:name="_Toc45658869"/>
      <w:bookmarkStart w:id="26" w:name="_Toc64446424"/>
      <w:bookmarkStart w:id="27" w:name="_Toc105174536"/>
      <w:bookmarkStart w:id="28" w:name="_Toc51850615"/>
      <w:bookmarkStart w:id="29" w:name="_Toc45107916"/>
      <w:bookmarkStart w:id="30" w:name="_Toc88653822"/>
      <w:bookmarkStart w:id="31" w:name="_Toc155959865"/>
      <w:bookmarkStart w:id="32" w:name="_Toc106109373"/>
      <w:bookmarkStart w:id="33" w:name="_Toc45901536"/>
      <w:bookmarkStart w:id="34" w:name="_Toc64447161"/>
      <w:bookmarkStart w:id="35" w:name="_Toc56693618"/>
      <w:bookmarkStart w:id="36" w:name="_Toc113825194"/>
      <w:bookmarkStart w:id="37" w:name="_Toc66286655"/>
      <w:bookmarkStart w:id="38" w:name="_Toc29991418"/>
      <w:bookmarkStart w:id="39" w:name="_Toc36555818"/>
      <w:bookmarkStart w:id="40" w:name="_Toc98868251"/>
      <w:bookmarkStart w:id="41" w:name="_Toc20955221"/>
      <w:bookmarkStart w:id="42" w:name="_Toc74151350"/>
      <w:bookmarkStart w:id="43" w:name="_Toc44497528"/>
      <w:bookmarkStart w:id="44" w:name="_Toc97904178"/>
      <w:r>
        <w:rPr>
          <w:rFonts w:ascii="Arial" w:hAnsi="Arial" w:eastAsia="Times New Roman" w:cs="Times New Roman"/>
          <w:sz w:val="24"/>
          <w:lang w:val="en-GB" w:eastAsia="ko-KR" w:bidi="ar-SA"/>
        </w:rPr>
        <w:t>9.3.1.</w:t>
      </w:r>
      <w:bookmarkEnd w:id="7"/>
      <w:r>
        <w:rPr>
          <w:rFonts w:ascii="Arial" w:hAnsi="Arial" w:eastAsia="Times New Roman" w:cs="Times New Roman"/>
          <w:sz w:val="24"/>
          <w:lang w:val="en-GB" w:eastAsia="ko-KR" w:bidi="ar-SA"/>
        </w:rPr>
        <w:t>169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MDT Configuration</w:t>
      </w:r>
      <w:bookmarkEnd w:id="8"/>
      <w:r>
        <w:rPr>
          <w:rFonts w:ascii="Arial" w:hAnsi="Arial" w:eastAsia="Times New Roman" w:cs="Times New Roman"/>
          <w:sz w:val="24"/>
          <w:lang w:val="en-GB" w:eastAsia="ko-KR" w:bidi="ar-SA"/>
        </w:rPr>
        <w:t>-NR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spacing w:before="0" w:beforeAutospacing="0"/>
        <w:rPr>
          <w:rFonts w:eastAsia="宋体"/>
          <w:sz w:val="20"/>
          <w:szCs w:val="20"/>
          <w:lang w:val="en-GB" w:eastAsia="zh-CN"/>
        </w:rPr>
      </w:pPr>
      <w:r>
        <w:rPr>
          <w:rFonts w:eastAsia="宋体"/>
          <w:sz w:val="20"/>
          <w:szCs w:val="20"/>
          <w:lang w:val="en-GB" w:eastAsia="zh-CN"/>
        </w:rPr>
        <w:t>This IE defines the MDT configuration parameters of NR.</w:t>
      </w:r>
    </w:p>
    <w:tbl>
      <w:tblPr>
        <w:tblStyle w:val="43"/>
        <w:tblW w:w="9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78"/>
        <w:gridCol w:w="1589"/>
        <w:gridCol w:w="1757"/>
        <w:gridCol w:w="1078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MDT Activation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ENUMERATED (Immediate MDT only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,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Logged MDT only, Immediate MDT and Trace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, …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CHOICE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 xml:space="preserve"> </w:t>
            </w:r>
            <w:bookmarkStart w:id="45" w:name="OLE_LINK58"/>
            <w:bookmarkStart w:id="46" w:name="OLE_LINK62"/>
            <w:bookmarkStart w:id="47" w:name="OLE_LINK59"/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Area</w:t>
            </w:r>
            <w:r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  <w:t xml:space="preserve"> Scope of MDT</w:t>
            </w:r>
            <w:bookmarkEnd w:id="45"/>
            <w:bookmarkEnd w:id="46"/>
            <w:bookmarkEnd w:id="47"/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 w:leftChars="50"/>
              <w:textAlignment w:val="baseline"/>
              <w:rPr>
                <w:rFonts w:ascii="Arial" w:hAnsi="Arial" w:eastAsia="宋体" w:cs="Times New Roman"/>
                <w:i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zh-CN" w:bidi="ar-SA"/>
              </w:rPr>
              <w:t>&gt;Cell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 xml:space="preserve">If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zh-CN" w:eastAsia="ja-JP" w:bidi="ar-SA"/>
              </w:rPr>
              <w:t xml:space="preserve">PNI-NPN Area Scope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ja-JP" w:bidi="ar-SA"/>
              </w:rPr>
              <w:t>of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zh-CN" w:eastAsia="ja-JP" w:bidi="ar-SA"/>
              </w:rPr>
              <w:t xml:space="preserve"> MDT</w:t>
            </w: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 xml:space="preserve"> IE is present, this IE covers non-CAG cells only</w:t>
            </w:r>
            <w:r>
              <w:rPr>
                <w:rFonts w:hint="eastAsia" w:ascii="Arial" w:hAnsi="Arial" w:eastAsia="Times New Roman" w:cs="Times New Roman"/>
                <w:bCs/>
                <w:sz w:val="18"/>
                <w:lang w:val="en-GB" w:eastAsia="ko-KR" w:bidi="ar-SA"/>
              </w:rPr>
              <w:t>, where non-CAG cells refer to cells that only provide public access</w:t>
            </w:r>
            <w:r>
              <w:rPr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  <w:t>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40" w:leftChars="100"/>
              <w:textAlignment w:val="baseline"/>
              <w:rPr>
                <w:rFonts w:ascii="Arial" w:hAnsi="Arial" w:eastAsia="宋体" w:cs="Times New Roman"/>
                <w:b/>
                <w:bCs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bCs/>
                <w:iCs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宋体" w:cs="Times New Roman"/>
                <w:b/>
                <w:bCs/>
                <w:iCs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宋体" w:cs="Times New Roman"/>
                <w:b/>
                <w:bCs/>
                <w:iCs/>
                <w:sz w:val="18"/>
                <w:lang w:val="en-GB" w:eastAsia="ja-JP" w:bidi="ar-SA"/>
              </w:rPr>
              <w:t>Cell ID List</w:t>
            </w:r>
            <w:r>
              <w:rPr>
                <w:rFonts w:ascii="Arial" w:hAnsi="Arial" w:eastAsia="宋体" w:cs="Times New Roman"/>
                <w:b/>
                <w:bCs/>
                <w:iCs/>
                <w:sz w:val="18"/>
                <w:lang w:val="en-GB" w:eastAsia="zh-CN" w:bidi="ar-SA"/>
              </w:rPr>
              <w:t xml:space="preserve"> for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  <w:t>1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..&lt;maxnoofCellID</w:t>
            </w:r>
            <w:r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  <w:t>forMDT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&gt;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60" w:leftChars="15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&gt;&gt;</w:t>
            </w:r>
            <w:r>
              <w:rPr>
                <w:rFonts w:ascii="Arial" w:hAnsi="Arial" w:eastAsia="宋体" w:cs="Times New Roman"/>
                <w:iCs/>
                <w:sz w:val="18"/>
                <w:lang w:val="en-GB" w:eastAsia="zh-CN" w:bidi="ar-SA"/>
              </w:rPr>
              <w:t xml:space="preserve">&gt;NR </w:t>
            </w: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CGI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9.3.1.7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 w:leftChars="50"/>
              <w:textAlignment w:val="baseline"/>
              <w:rPr>
                <w:rFonts w:ascii="Arial" w:hAnsi="Arial" w:eastAsia="宋体" w:cs="Times New Roman"/>
                <w:i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zh-CN" w:bidi="ar-SA"/>
              </w:rPr>
              <w:t>&gt;TA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 xml:space="preserve">If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zh-CN" w:eastAsia="ja-JP" w:bidi="ar-SA"/>
              </w:rPr>
              <w:t xml:space="preserve">PNI-NPN Area Scope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ja-JP" w:bidi="ar-SA"/>
              </w:rPr>
              <w:t>of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zh-CN" w:eastAsia="ja-JP" w:bidi="ar-SA"/>
              </w:rPr>
              <w:t xml:space="preserve"> MDT</w:t>
            </w: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 xml:space="preserve"> IE is present, this IE covers non-CAG cells only</w:t>
            </w:r>
            <w:r>
              <w:rPr>
                <w:rFonts w:hint="eastAsia" w:ascii="Arial" w:hAnsi="Arial" w:eastAsia="Times New Roman" w:cs="Times New Roman"/>
                <w:bCs/>
                <w:sz w:val="18"/>
                <w:lang w:val="en-GB" w:eastAsia="ko-KR" w:bidi="ar-SA"/>
              </w:rPr>
              <w:t>, where non-CAG cells refer to cells that only provide public access</w:t>
            </w:r>
            <w:r>
              <w:rPr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  <w:t>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40" w:leftChars="100"/>
              <w:textAlignment w:val="baseline"/>
              <w:rPr>
                <w:rFonts w:ascii="Arial" w:hAnsi="Arial" w:eastAsia="宋体" w:cs="Times New Roman"/>
                <w:b/>
                <w:bCs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bCs/>
                <w:iCs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宋体" w:cs="Times New Roman"/>
                <w:b/>
                <w:bCs/>
                <w:iCs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宋体" w:cs="Times New Roman"/>
                <w:b/>
                <w:bCs/>
                <w:iCs/>
                <w:sz w:val="18"/>
                <w:lang w:val="en-GB" w:eastAsia="ja-JP" w:bidi="ar-SA"/>
              </w:rPr>
              <w:t>TA List</w:t>
            </w:r>
            <w:r>
              <w:rPr>
                <w:rFonts w:ascii="Arial" w:hAnsi="Arial" w:eastAsia="宋体" w:cs="Times New Roman"/>
                <w:b/>
                <w:bCs/>
                <w:iCs/>
                <w:sz w:val="18"/>
                <w:lang w:val="en-GB" w:eastAsia="zh-CN" w:bidi="ar-SA"/>
              </w:rPr>
              <w:t xml:space="preserve"> for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  <w:t>1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..&lt;maxnoofTA</w:t>
            </w:r>
            <w:r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  <w:t>forMDT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&gt;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60" w:leftChars="15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&gt;&gt;</w:t>
            </w:r>
            <w:r>
              <w:rPr>
                <w:rFonts w:ascii="Arial" w:hAnsi="Arial" w:eastAsia="宋体" w:cs="Times New Roman"/>
                <w:iCs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TAC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9.3.3.10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 w:leftChars="50"/>
              <w:textAlignment w:val="baseline"/>
              <w:rPr>
                <w:rFonts w:ascii="Arial" w:hAnsi="Arial" w:eastAsia="宋体" w:cs="Times New Roman"/>
                <w:i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zh-CN" w:bidi="ar-SA"/>
              </w:rPr>
              <w:t>PLMN wide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NULL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 w:leftChars="50"/>
              <w:textAlignment w:val="baseline"/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&gt;TAI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 xml:space="preserve">If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zh-CN" w:eastAsia="ja-JP" w:bidi="ar-SA"/>
              </w:rPr>
              <w:t xml:space="preserve">PNI-NPN Area Scope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of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zh-CN" w:eastAsia="ja-JP" w:bidi="ar-SA"/>
              </w:rPr>
              <w:t xml:space="preserve"> MDT</w:t>
            </w: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 xml:space="preserve"> IE is present, this IE covers non-CAG cells only</w:t>
            </w:r>
            <w:r>
              <w:rPr>
                <w:rFonts w:hint="eastAsia" w:ascii="Arial" w:hAnsi="Arial" w:eastAsia="Times New Roman" w:cs="Times New Roman"/>
                <w:bCs/>
                <w:sz w:val="18"/>
                <w:lang w:val="en-GB" w:eastAsia="ko-KR" w:bidi="ar-SA"/>
              </w:rPr>
              <w:t>, where non-CAG cells refer to cells that only provide public access</w:t>
            </w:r>
            <w:r>
              <w:rPr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  <w:t>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40" w:leftChars="100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&gt;&gt;TAI List for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  <w:t>1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..&lt;maxnoofTA</w:t>
            </w:r>
            <w:r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  <w:t>forMDT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&gt;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60" w:leftChars="15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&gt;&gt;&gt;TAI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120" w:leftChars="50"/>
              <w:textAlignment w:val="auto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zh-CN" w:eastAsia="ja-JP" w:bidi="ar-SA"/>
              </w:rPr>
              <w:t xml:space="preserve">&gt;PNI-NPN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ja-JP" w:bidi="ar-SA"/>
              </w:rPr>
              <w:t>B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zh-CN" w:eastAsia="ja-JP" w:bidi="ar-SA"/>
              </w:rPr>
              <w:t>ased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ja-JP" w:bidi="ar-SA"/>
              </w:rPr>
              <w:t xml:space="preserve">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240" w:leftChars="100"/>
              <w:textAlignment w:val="auto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zh-CN" w:eastAsia="ja-JP" w:bidi="ar-SA"/>
              </w:rPr>
              <w:t>&gt;&gt;CAG List for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zh-CN" w:eastAsia="zh-CN" w:bidi="ar-SA"/>
              </w:rPr>
              <w:t>1</w:t>
            </w:r>
            <w:r>
              <w:rPr>
                <w:rFonts w:ascii="Arial" w:hAnsi="Arial" w:eastAsia="宋体" w:cs="Times New Roman"/>
                <w:i/>
                <w:sz w:val="18"/>
                <w:lang w:val="zh-CN" w:eastAsia="ja-JP" w:bidi="ar-SA"/>
              </w:rPr>
              <w:t>..&lt;maxnoofCAG</w:t>
            </w:r>
            <w:r>
              <w:rPr>
                <w:rFonts w:ascii="Arial" w:hAnsi="Arial" w:eastAsia="宋体" w:cs="Times New Roman"/>
                <w:i/>
                <w:sz w:val="18"/>
                <w:lang w:val="zh-CN" w:eastAsia="zh-CN" w:bidi="ar-SA"/>
              </w:rPr>
              <w:t>forMDT</w:t>
            </w:r>
            <w:r>
              <w:rPr>
                <w:rFonts w:ascii="Arial" w:hAnsi="Arial" w:eastAsia="宋体" w:cs="Times New Roman"/>
                <w:i/>
                <w:sz w:val="18"/>
                <w:lang w:val="zh-CN" w:eastAsia="ja-JP" w:bidi="ar-SA"/>
              </w:rPr>
              <w:t>&gt;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360" w:leftChars="150"/>
              <w:textAlignment w:val="auto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&gt;&gt;&gt;PLMN ID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0" w:author="ZTE" w:date="2024-02-18T13:56:5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M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9.3.3.5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360" w:leftChars="150"/>
              <w:textAlignment w:val="auto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zh-CN" w:eastAsia="ja-JP" w:bidi="ar-SA"/>
              </w:rPr>
              <w:t>&gt;&gt;&gt;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CAG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zh-CN" w:eastAsia="zh-CN" w:bidi="ar-SA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zh-CN" w:eastAsia="zh-CN" w:bidi="ar-SA"/>
              </w:rPr>
              <w:t>9.3.3.43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120" w:leftChars="50"/>
              <w:textAlignment w:val="auto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US" w:eastAsia="ja-JP" w:bidi="ar-SA"/>
              </w:rPr>
              <w:t>&gt;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zh-CN" w:eastAsia="ja-JP" w:bidi="ar-SA"/>
              </w:rPr>
              <w:t>SNPN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ja-JP" w:bidi="ar-SA"/>
              </w:rPr>
              <w:t xml:space="preserve"> Cell Based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240" w:leftChars="100"/>
              <w:textAlignment w:val="auto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nb-NO" w:eastAsia="ja-JP" w:bidi="ar-SA"/>
              </w:rPr>
              <w:t>&gt;&gt;</w:t>
            </w:r>
            <w:r>
              <w:rPr>
                <w:rFonts w:ascii="Arial" w:hAnsi="Arial" w:eastAsia="宋体" w:cs="Times New Roman"/>
                <w:b/>
                <w:sz w:val="18"/>
                <w:lang w:val="zh-CN" w:eastAsia="ja-JP" w:bidi="ar-SA"/>
              </w:rPr>
              <w:t>SNPN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nb-NO" w:eastAsia="ja-JP" w:bidi="ar-SA"/>
              </w:rPr>
              <w:t xml:space="preserve"> Cell ID List for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1..&lt;maxnoofCellID</w:t>
            </w:r>
            <w:r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  <w:t>forMDT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&gt;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360" w:leftChars="150"/>
              <w:textAlignment w:val="auto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&gt;&gt;&gt;NR CGI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zh-CN" w:eastAsia="zh-CN" w:bidi="ar-SA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9.3.1.7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360" w:leftChars="150"/>
              <w:textAlignment w:val="auto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&gt;&gt;&gt;NID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zh-CN" w:eastAsia="zh-CN" w:bidi="ar-SA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9.3.3.42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 xml:space="preserve">Identifies an SNPN together with the </w:t>
            </w:r>
            <w:r>
              <w:rPr>
                <w:rFonts w:ascii="Arial" w:hAnsi="Arial" w:eastAsia="宋体" w:cs="Times New Roman"/>
                <w:bCs/>
                <w:iCs/>
                <w:sz w:val="18"/>
                <w:lang w:val="en-GB" w:eastAsia="zh-CN" w:bidi="ar-SA"/>
              </w:rPr>
              <w:t>PLMN</w:t>
            </w:r>
            <w:r>
              <w:rPr>
                <w:rFonts w:ascii="Arial" w:hAnsi="Arial" w:eastAsia="宋体" w:cs="Times New Roman"/>
                <w:bCs/>
                <w:i/>
                <w:iCs/>
                <w:sz w:val="18"/>
                <w:lang w:val="en-GB" w:eastAsia="zh-CN" w:bidi="ar-SA"/>
              </w:rPr>
              <w:t xml:space="preserve"> </w:t>
            </w:r>
            <w:bookmarkStart w:id="48" w:name="OLE_LINK85"/>
            <w:r>
              <w:rPr>
                <w:rFonts w:ascii="Arial" w:hAnsi="Arial" w:eastAsia="宋体" w:cs="Times New Roman"/>
                <w:bCs/>
                <w:iCs/>
                <w:sz w:val="18"/>
                <w:lang w:val="en-GB" w:eastAsia="zh-CN" w:bidi="ar-SA"/>
              </w:rPr>
              <w:t>Identity</w:t>
            </w: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 xml:space="preserve"> </w:t>
            </w:r>
            <w:bookmarkEnd w:id="48"/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 xml:space="preserve">in the </w:t>
            </w:r>
            <w:r>
              <w:rPr>
                <w:rFonts w:ascii="Arial" w:hAnsi="Arial" w:eastAsia="宋体" w:cs="Times New Roman"/>
                <w:bCs/>
                <w:i/>
                <w:sz w:val="18"/>
                <w:lang w:val="en-GB" w:eastAsia="zh-CN" w:bidi="ar-SA"/>
              </w:rPr>
              <w:t>NR CGI</w:t>
            </w: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 xml:space="preserve"> IE.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120" w:leftChars="50"/>
              <w:textAlignment w:val="auto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US" w:eastAsia="ja-JP" w:bidi="ar-SA"/>
              </w:rPr>
              <w:t>&gt;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zh-CN" w:eastAsia="ja-JP" w:bidi="ar-SA"/>
              </w:rPr>
              <w:t>SNPN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ja-JP" w:bidi="ar-SA"/>
              </w:rPr>
              <w:t xml:space="preserve"> TAI Based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240" w:leftChars="100"/>
              <w:textAlignment w:val="auto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szCs w:val="18"/>
                <w:lang w:val="en-GB" w:eastAsia="zh-CN" w:bidi="ar-SA"/>
              </w:rPr>
              <w:t>&gt;&gt;</w:t>
            </w:r>
            <w:r>
              <w:rPr>
                <w:rFonts w:ascii="Arial" w:hAnsi="Arial" w:eastAsia="宋体" w:cs="Times New Roman"/>
                <w:b/>
                <w:sz w:val="18"/>
                <w:lang w:val="zh-CN" w:eastAsia="ja-JP" w:bidi="ar-SA"/>
              </w:rPr>
              <w:t>SNPN</w:t>
            </w:r>
            <w:r>
              <w:rPr>
                <w:rFonts w:ascii="Arial" w:hAnsi="Arial" w:eastAsia="宋体" w:cs="Arial"/>
                <w:b/>
                <w:sz w:val="18"/>
                <w:szCs w:val="18"/>
                <w:lang w:val="en-GB" w:eastAsia="zh-CN" w:bidi="ar-SA"/>
              </w:rPr>
              <w:t xml:space="preserve"> TAI List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  <w:t>1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..&lt;maxnoofTA</w:t>
            </w:r>
            <w:r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  <w:t>forMDT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&gt;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360" w:leftChars="150"/>
              <w:textAlignment w:val="auto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nb-NO" w:eastAsia="ja-JP" w:bidi="ar-SA"/>
              </w:rPr>
              <w:t>&gt;&gt;&gt;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TAI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zh-CN" w:eastAsia="zh-CN" w:bidi="ar-SA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9.3.3.11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360" w:leftChars="150"/>
              <w:textAlignment w:val="auto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nb-NO" w:eastAsia="ja-JP" w:bidi="ar-SA"/>
              </w:rPr>
              <w:t>&gt;&gt;&gt;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NID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zh-CN" w:eastAsia="zh-CN" w:bidi="ar-SA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9.3.3.42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 xml:space="preserve">Identifies an SNPN together with the </w:t>
            </w:r>
            <w:r>
              <w:rPr>
                <w:rFonts w:ascii="Arial" w:hAnsi="Arial" w:eastAsia="宋体" w:cs="Times New Roman"/>
                <w:bCs/>
                <w:iCs/>
                <w:sz w:val="18"/>
                <w:lang w:val="en-GB" w:eastAsia="zh-CN" w:bidi="ar-SA"/>
              </w:rPr>
              <w:t>PLMN</w:t>
            </w:r>
            <w:r>
              <w:rPr>
                <w:rFonts w:ascii="Arial" w:hAnsi="Arial" w:eastAsia="宋体" w:cs="Times New Roman"/>
                <w:bCs/>
                <w:i/>
                <w:iCs/>
                <w:sz w:val="18"/>
                <w:lang w:val="en-GB" w:eastAsia="zh-CN" w:bidi="ar-SA"/>
              </w:rPr>
              <w:t xml:space="preserve"> </w:t>
            </w:r>
            <w:r>
              <w:rPr>
                <w:rFonts w:ascii="Arial" w:hAnsi="Arial" w:eastAsia="宋体" w:cs="Times New Roman"/>
                <w:bCs/>
                <w:iCs/>
                <w:sz w:val="18"/>
                <w:lang w:val="en-GB" w:eastAsia="zh-CN" w:bidi="ar-SA"/>
              </w:rPr>
              <w:t>Identity</w:t>
            </w: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 xml:space="preserve"> in the </w:t>
            </w:r>
            <w:r>
              <w:rPr>
                <w:rFonts w:ascii="Arial" w:hAnsi="Arial" w:eastAsia="宋体" w:cs="Times New Roman"/>
                <w:bCs/>
                <w:i/>
                <w:sz w:val="18"/>
                <w:lang w:val="en-GB" w:eastAsia="zh-CN" w:bidi="ar-SA"/>
              </w:rPr>
              <w:t>TAI</w:t>
            </w: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 xml:space="preserve"> IE.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120" w:leftChars="50"/>
              <w:textAlignment w:val="auto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US" w:eastAsia="ja-JP" w:bidi="ar-SA"/>
              </w:rPr>
              <w:t>&gt;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zh-CN" w:eastAsia="ja-JP" w:bidi="ar-SA"/>
              </w:rPr>
              <w:t>SNPN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US" w:eastAsia="ja-JP" w:bidi="ar-SA"/>
              </w:rPr>
              <w:t xml:space="preserve"> Based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240" w:leftChars="100"/>
              <w:textAlignment w:val="auto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szCs w:val="18"/>
                <w:lang w:val="en-GB" w:eastAsia="zh-CN" w:bidi="ar-SA"/>
              </w:rPr>
              <w:t>&gt;&gt;</w:t>
            </w:r>
            <w:r>
              <w:rPr>
                <w:rFonts w:ascii="Arial" w:hAnsi="Arial" w:eastAsia="宋体" w:cs="Times New Roman"/>
                <w:b/>
                <w:sz w:val="18"/>
                <w:lang w:val="zh-CN" w:eastAsia="ja-JP" w:bidi="ar-SA"/>
              </w:rPr>
              <w:t>MDT</w:t>
            </w:r>
            <w:r>
              <w:rPr>
                <w:rFonts w:ascii="Arial" w:hAnsi="Arial" w:eastAsia="宋体" w:cs="Arial"/>
                <w:b/>
                <w:sz w:val="18"/>
                <w:szCs w:val="18"/>
                <w:lang w:val="en-GB" w:eastAsia="zh-CN" w:bidi="ar-SA"/>
              </w:rPr>
              <w:t xml:space="preserve"> SNPN List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zh-CN" w:eastAsia="zh-CN" w:bidi="ar-SA"/>
              </w:rPr>
              <w:t>1..&lt;maxnoofMDTSNPNs&gt;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360" w:leftChars="150"/>
              <w:textAlignment w:val="auto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nb-NO" w:eastAsia="ja-JP" w:bidi="ar-SA"/>
              </w:rPr>
              <w:t>&gt;&gt;&gt;PLMN Identity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zh-CN" w:eastAsia="zh-CN" w:bidi="ar-SA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9.3.3.5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360" w:leftChars="150"/>
              <w:textAlignment w:val="auto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nb-NO" w:eastAsia="ja-JP" w:bidi="ar-SA"/>
              </w:rPr>
              <w:t>&gt;&gt;&gt;NID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zh-CN" w:eastAsia="zh-CN" w:bidi="ar-SA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9.3.3.42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 xml:space="preserve">Identifies an SNPN together with the </w:t>
            </w:r>
            <w:r>
              <w:rPr>
                <w:rFonts w:ascii="Arial" w:hAnsi="Arial" w:eastAsia="宋体" w:cs="Times New Roman"/>
                <w:bCs/>
                <w:i/>
                <w:iCs/>
                <w:sz w:val="18"/>
                <w:lang w:val="en-GB" w:eastAsia="zh-CN" w:bidi="ar-SA"/>
              </w:rPr>
              <w:t>PLMN Identity</w:t>
            </w: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 xml:space="preserve"> IE.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CHOICE </w:t>
            </w:r>
            <w:r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  <w:t>MDT Mode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 w:leftChars="50"/>
              <w:textAlignment w:val="baseline"/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iCs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宋体" w:cs="Times New Roman"/>
                <w:bCs/>
                <w:i/>
                <w:iCs/>
                <w:sz w:val="18"/>
                <w:lang w:val="en-GB" w:eastAsia="zh-CN" w:bidi="ar-SA"/>
              </w:rPr>
              <w:t>Immediate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40" w:leftChars="10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&gt;&gt;Measurements to Activate 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BITSTRING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(SIZE(8))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Each position in the bitmap indicates a MDT measurement, as defined in TS 37.320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[41].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First Bit = M1,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Second Bit= M2,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Third Bit = M4,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Fourth Bit = M5,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Fifth Bit = M6,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Sixth Bit = M7,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Seventh Bit = logging of M1 from event triggered measurement reports according to existing RRM configuration,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other bits reserved for future use.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40" w:leftChars="10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&gt;&gt;M1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bookmarkStart w:id="49" w:name="OLE_LINK83"/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C-ifM</w:t>
            </w:r>
            <w:bookmarkEnd w:id="49"/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1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9.3.1.171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40" w:leftChars="10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&gt;&gt;M4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C-ifM4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9.3.1.172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40" w:leftChars="10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&gt;&gt;M5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C-ifM5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9.3.1.173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40" w:leftChars="10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&gt;&gt;M6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C-ifM6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9.3.1.174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40" w:leftChars="10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&gt;&gt;M7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C-ifM7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9.3.1.175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40" w:leftChars="10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9.3.1.177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40" w:leftChars="10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9.3.1.178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40" w:leftChars="10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9.3.1.176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40" w:leftChars="10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9.3.1.179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 w:leftChars="50"/>
              <w:textAlignment w:val="baseline"/>
              <w:rPr>
                <w:rFonts w:ascii="Arial" w:hAnsi="Arial" w:eastAsia="宋体" w:cs="Times New Roman"/>
                <w:i/>
                <w:iCs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Cs/>
                <w:i/>
                <w:iCs/>
                <w:sz w:val="18"/>
                <w:lang w:val="en-GB" w:eastAsia="ja-JP" w:bidi="ar-SA"/>
              </w:rPr>
              <w:t>&gt;Logged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40" w:leftChars="10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&gt;&gt;Logging Interval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ENUMERATED (320ms, 640ms, 1280ms, 2560ms, 5120ms, 10240ms, 20480ms, 30720ms, 40960ms, 61440ms, infinity, …)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Corresponds to the </w:t>
            </w: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zh-CN" w:bidi="ar-SA"/>
              </w:rPr>
              <w:t>LoggingInterval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IE as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defined in TS 38.331 [18]. 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40" w:leftChars="10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&gt;&gt;Logging Duration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ENUMERATED (10, 20, 40, 60, 90,120, …)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Corresponds to the </w:t>
            </w: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zh-CN" w:bidi="ar-SA"/>
              </w:rPr>
              <w:t>LoggingDuration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IE as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defined in TS 38.331 [18]. Unit: [minute].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40" w:leftChars="10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&gt;&gt;CHOICE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60" w:leftChars="150"/>
              <w:textAlignment w:val="baseline"/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&gt;&gt;&gt;Periodical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NULL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60" w:leftChars="150"/>
              <w:textAlignment w:val="baseline"/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&gt;&gt;&gt;Event Triggered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leftChars="20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&gt;&gt;&gt;&gt;Event Trigger Logged MDT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9.3.1.180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40" w:leftChars="10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bookmarkStart w:id="50" w:name="_Hlk22194740"/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9.3.1.177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40" w:leftChars="10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9.3.1.178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bookmarkEnd w:id="5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40" w:leftChars="10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9.3.1.179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40" w:leftChars="10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&gt;&gt;Area Scope of Neighbour Cells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9.3.1.182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40" w:leftChars="10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&gt;Early Measurement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ENUMERATED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(true, ...)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T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Signalling Based MDT PLMN List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MDT PLMN List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9.3.1.168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zh-CN" w:eastAsia="ja-JP" w:bidi="ar-SA"/>
              </w:rPr>
              <w:t xml:space="preserve">PNI-NPN Area Scope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of</w:t>
            </w:r>
            <w:r>
              <w:rPr>
                <w:rFonts w:ascii="Arial" w:hAnsi="Arial" w:eastAsia="宋体" w:cs="Times New Roman"/>
                <w:sz w:val="18"/>
                <w:lang w:val="zh-CN" w:eastAsia="ja-JP" w:bidi="ar-SA"/>
              </w:rPr>
              <w:t xml:space="preserve">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9.3.3.65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This IE is ignored if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zh-CN" w:bidi="ar-SA"/>
              </w:rPr>
              <w:t>PLMN Wide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IE is present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</w:tbl>
    <w:p>
      <w:pPr>
        <w:spacing w:before="0" w:beforeAutospacing="0"/>
        <w:rPr>
          <w:rFonts w:eastAsia="宋体"/>
          <w:sz w:val="20"/>
          <w:szCs w:val="20"/>
          <w:lang w:val="en-GB" w:eastAsia="zh-CN"/>
        </w:rPr>
      </w:pPr>
    </w:p>
    <w:tbl>
      <w:tblPr>
        <w:tblStyle w:val="43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maxnoofCellID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forMDT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Maximum no. of Cell ID subject for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MDT scope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. Value is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32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maxnoofTA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forMDT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Maximum no. of TA subject for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MDT scope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. Value is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8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maxnoofCAG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forMDT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Maximum no. of CAG IDs for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MDT scope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. Value is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256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GB" w:eastAsia="ja-JP" w:bidi="ar-SA"/>
              </w:rPr>
              <w:t>m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axnoof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MDT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SNPNs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Maximum no. of SNPNs in the MDT SNPN list. Value is 16.</w:t>
            </w:r>
          </w:p>
        </w:tc>
      </w:tr>
    </w:tbl>
    <w:p>
      <w:pPr>
        <w:spacing w:before="0" w:beforeAutospacing="0"/>
        <w:rPr>
          <w:rFonts w:eastAsia="Times New Roman"/>
          <w:sz w:val="20"/>
          <w:szCs w:val="20"/>
          <w:lang w:val="en-GB" w:eastAsia="zh-CN"/>
        </w:rPr>
      </w:pPr>
    </w:p>
    <w:tbl>
      <w:tblPr>
        <w:tblStyle w:val="43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Condition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C-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ifM1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This IE shall be present if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 xml:space="preserve">Measurements to Activate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IE has the first bit set to “1”.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C-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ifM4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This IE shall be present if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Measurements to Activate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IE has the third bit set to “1”.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C-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ifM5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This IE shall be present if the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Measurements to Activate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IE has the fourth bit set to “1”.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C-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ifM6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This IE shall be present if the Measurements to Activate IE has the fitth bit set to “1”.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C-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ifM7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This IE shall be present if the Measurements to Activate IE has the sixth bit set to “1”.</w:t>
            </w:r>
          </w:p>
        </w:tc>
      </w:tr>
    </w:tbl>
    <w:p>
      <w:pPr>
        <w:spacing w:before="0" w:beforeAutospacing="0"/>
        <w:rPr>
          <w:rFonts w:eastAsia="Times New Roman"/>
          <w:sz w:val="20"/>
          <w:szCs w:val="20"/>
          <w:lang w:val="en-GB" w:eastAsia="ko-KR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iCs/>
          <w:lang w:val="en-US" w:eastAsia="zh-CN"/>
        </w:rPr>
      </w:pPr>
      <w:bookmarkStart w:id="51" w:name="_CR8_4_3_1"/>
      <w:bookmarkEnd w:id="51"/>
      <w:r>
        <w:rPr>
          <w:rFonts w:hint="eastAsia"/>
          <w:i/>
          <w:iCs/>
          <w:lang w:val="en-US" w:eastAsia="zh-CN"/>
        </w:rPr>
        <w:t>End of Changes</w:t>
      </w:r>
    </w:p>
    <w:p>
      <w:pPr>
        <w:rPr>
          <w:rFonts w:hint="eastAsia"/>
        </w:rPr>
      </w:pPr>
    </w:p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0C48"/>
    <w:rsid w:val="00374DD4"/>
    <w:rsid w:val="0039453E"/>
    <w:rsid w:val="003E1A36"/>
    <w:rsid w:val="00410371"/>
    <w:rsid w:val="004242F1"/>
    <w:rsid w:val="004B4D55"/>
    <w:rsid w:val="004B75B7"/>
    <w:rsid w:val="00514EDF"/>
    <w:rsid w:val="0051580D"/>
    <w:rsid w:val="00547111"/>
    <w:rsid w:val="00592D74"/>
    <w:rsid w:val="005E2C44"/>
    <w:rsid w:val="005F00B7"/>
    <w:rsid w:val="00621188"/>
    <w:rsid w:val="00622F50"/>
    <w:rsid w:val="00624EBD"/>
    <w:rsid w:val="006257ED"/>
    <w:rsid w:val="00651D74"/>
    <w:rsid w:val="00654BDD"/>
    <w:rsid w:val="006560ED"/>
    <w:rsid w:val="00695808"/>
    <w:rsid w:val="006B46FB"/>
    <w:rsid w:val="006C55B0"/>
    <w:rsid w:val="006E21FB"/>
    <w:rsid w:val="00732DE4"/>
    <w:rsid w:val="00792342"/>
    <w:rsid w:val="007925B0"/>
    <w:rsid w:val="007977A8"/>
    <w:rsid w:val="007A4766"/>
    <w:rsid w:val="007B512A"/>
    <w:rsid w:val="007C2097"/>
    <w:rsid w:val="007D6A07"/>
    <w:rsid w:val="007F24BA"/>
    <w:rsid w:val="007F7259"/>
    <w:rsid w:val="008040A8"/>
    <w:rsid w:val="008279FA"/>
    <w:rsid w:val="008626E7"/>
    <w:rsid w:val="00870EE7"/>
    <w:rsid w:val="00877221"/>
    <w:rsid w:val="008863B9"/>
    <w:rsid w:val="008A45A6"/>
    <w:rsid w:val="008E56B1"/>
    <w:rsid w:val="008F686C"/>
    <w:rsid w:val="00902CB8"/>
    <w:rsid w:val="0090781C"/>
    <w:rsid w:val="009148DE"/>
    <w:rsid w:val="0092723D"/>
    <w:rsid w:val="00941E30"/>
    <w:rsid w:val="00973E00"/>
    <w:rsid w:val="009777D9"/>
    <w:rsid w:val="00991B88"/>
    <w:rsid w:val="009A5753"/>
    <w:rsid w:val="009A579D"/>
    <w:rsid w:val="009E2E8E"/>
    <w:rsid w:val="009E3297"/>
    <w:rsid w:val="009F734F"/>
    <w:rsid w:val="00A041C0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A0"/>
    <w:rsid w:val="00BD6BB8"/>
    <w:rsid w:val="00BE0D10"/>
    <w:rsid w:val="00BE71E1"/>
    <w:rsid w:val="00C42C7C"/>
    <w:rsid w:val="00C4371B"/>
    <w:rsid w:val="00C458DB"/>
    <w:rsid w:val="00C66BA2"/>
    <w:rsid w:val="00C95985"/>
    <w:rsid w:val="00CA60D3"/>
    <w:rsid w:val="00CC5026"/>
    <w:rsid w:val="00CC68D0"/>
    <w:rsid w:val="00D03F9A"/>
    <w:rsid w:val="00D06D51"/>
    <w:rsid w:val="00D17E55"/>
    <w:rsid w:val="00D24991"/>
    <w:rsid w:val="00D50255"/>
    <w:rsid w:val="00D66520"/>
    <w:rsid w:val="00D8413A"/>
    <w:rsid w:val="00DE34CF"/>
    <w:rsid w:val="00E06332"/>
    <w:rsid w:val="00E13F3D"/>
    <w:rsid w:val="00E34898"/>
    <w:rsid w:val="00E831E9"/>
    <w:rsid w:val="00EB09B7"/>
    <w:rsid w:val="00EE7D7C"/>
    <w:rsid w:val="00F25D98"/>
    <w:rsid w:val="00F300FB"/>
    <w:rsid w:val="00F75EE4"/>
    <w:rsid w:val="00F77C51"/>
    <w:rsid w:val="00FA7C0F"/>
    <w:rsid w:val="00FB14EF"/>
    <w:rsid w:val="00FB6386"/>
    <w:rsid w:val="012A2681"/>
    <w:rsid w:val="014F19B3"/>
    <w:rsid w:val="015D76D3"/>
    <w:rsid w:val="0220360A"/>
    <w:rsid w:val="02383693"/>
    <w:rsid w:val="038502BE"/>
    <w:rsid w:val="03F87F02"/>
    <w:rsid w:val="04AE2B3B"/>
    <w:rsid w:val="04C93DF3"/>
    <w:rsid w:val="04D4316A"/>
    <w:rsid w:val="054061FE"/>
    <w:rsid w:val="05416986"/>
    <w:rsid w:val="05BA28E2"/>
    <w:rsid w:val="0623258E"/>
    <w:rsid w:val="065419C5"/>
    <w:rsid w:val="07620CC3"/>
    <w:rsid w:val="0771597C"/>
    <w:rsid w:val="07A03CC2"/>
    <w:rsid w:val="08624FAC"/>
    <w:rsid w:val="08A1315E"/>
    <w:rsid w:val="08A44F26"/>
    <w:rsid w:val="0A5B2ED7"/>
    <w:rsid w:val="0A5E6E3D"/>
    <w:rsid w:val="0AA11617"/>
    <w:rsid w:val="0AD3476B"/>
    <w:rsid w:val="0B5B0623"/>
    <w:rsid w:val="0BAC5858"/>
    <w:rsid w:val="0BB546FC"/>
    <w:rsid w:val="0C06255F"/>
    <w:rsid w:val="0C165B76"/>
    <w:rsid w:val="0C372623"/>
    <w:rsid w:val="0C63415E"/>
    <w:rsid w:val="0D525927"/>
    <w:rsid w:val="0DB33E0C"/>
    <w:rsid w:val="0E422AEA"/>
    <w:rsid w:val="0E4F6016"/>
    <w:rsid w:val="0E622B80"/>
    <w:rsid w:val="0F2D7E01"/>
    <w:rsid w:val="0F312478"/>
    <w:rsid w:val="0F5F5E3A"/>
    <w:rsid w:val="0FAA3DE9"/>
    <w:rsid w:val="0FDF1A99"/>
    <w:rsid w:val="10A05157"/>
    <w:rsid w:val="10A62CC7"/>
    <w:rsid w:val="10AB62BA"/>
    <w:rsid w:val="10B8036F"/>
    <w:rsid w:val="111B7EB4"/>
    <w:rsid w:val="1177363E"/>
    <w:rsid w:val="11905DE6"/>
    <w:rsid w:val="119D23F3"/>
    <w:rsid w:val="11AC07EA"/>
    <w:rsid w:val="11B82110"/>
    <w:rsid w:val="11F54889"/>
    <w:rsid w:val="12371785"/>
    <w:rsid w:val="13110221"/>
    <w:rsid w:val="13783B65"/>
    <w:rsid w:val="139C3CE4"/>
    <w:rsid w:val="1426748A"/>
    <w:rsid w:val="146C00EC"/>
    <w:rsid w:val="14EE279E"/>
    <w:rsid w:val="15117D64"/>
    <w:rsid w:val="15253248"/>
    <w:rsid w:val="155A60FB"/>
    <w:rsid w:val="15AC7424"/>
    <w:rsid w:val="15CE45AE"/>
    <w:rsid w:val="15F60D41"/>
    <w:rsid w:val="16D74894"/>
    <w:rsid w:val="17024BF9"/>
    <w:rsid w:val="17062901"/>
    <w:rsid w:val="177A52D6"/>
    <w:rsid w:val="179F4804"/>
    <w:rsid w:val="17A60B24"/>
    <w:rsid w:val="17C07703"/>
    <w:rsid w:val="17DD5536"/>
    <w:rsid w:val="182B670E"/>
    <w:rsid w:val="186E03F7"/>
    <w:rsid w:val="19536828"/>
    <w:rsid w:val="197F5DBC"/>
    <w:rsid w:val="19B427D0"/>
    <w:rsid w:val="1A651107"/>
    <w:rsid w:val="1A7214AF"/>
    <w:rsid w:val="1B1527ED"/>
    <w:rsid w:val="1B594F70"/>
    <w:rsid w:val="1B784F06"/>
    <w:rsid w:val="1B9D7660"/>
    <w:rsid w:val="1BB42E96"/>
    <w:rsid w:val="1C396804"/>
    <w:rsid w:val="1C9F45F0"/>
    <w:rsid w:val="1D1C0164"/>
    <w:rsid w:val="1DCE10B2"/>
    <w:rsid w:val="1E782C4F"/>
    <w:rsid w:val="1F6342D8"/>
    <w:rsid w:val="1FA07754"/>
    <w:rsid w:val="1FBF6673"/>
    <w:rsid w:val="200B5DA5"/>
    <w:rsid w:val="20E23400"/>
    <w:rsid w:val="21606E69"/>
    <w:rsid w:val="21D5458F"/>
    <w:rsid w:val="21E97CB8"/>
    <w:rsid w:val="225824BC"/>
    <w:rsid w:val="228414D9"/>
    <w:rsid w:val="22E72E3A"/>
    <w:rsid w:val="23302AD4"/>
    <w:rsid w:val="233A7A8D"/>
    <w:rsid w:val="240515C3"/>
    <w:rsid w:val="245808DD"/>
    <w:rsid w:val="24E23C20"/>
    <w:rsid w:val="25146D3A"/>
    <w:rsid w:val="261B7CDD"/>
    <w:rsid w:val="265756CA"/>
    <w:rsid w:val="27014E3B"/>
    <w:rsid w:val="27014F68"/>
    <w:rsid w:val="274B283A"/>
    <w:rsid w:val="275A79A4"/>
    <w:rsid w:val="27896A5A"/>
    <w:rsid w:val="27964741"/>
    <w:rsid w:val="27B57796"/>
    <w:rsid w:val="27C34285"/>
    <w:rsid w:val="27DF40BB"/>
    <w:rsid w:val="28305F8E"/>
    <w:rsid w:val="28313DAC"/>
    <w:rsid w:val="284033D8"/>
    <w:rsid w:val="285F695A"/>
    <w:rsid w:val="29576E0F"/>
    <w:rsid w:val="29751113"/>
    <w:rsid w:val="29870DE7"/>
    <w:rsid w:val="2A1F531A"/>
    <w:rsid w:val="2A2514B1"/>
    <w:rsid w:val="2A9C3A4A"/>
    <w:rsid w:val="2AA20049"/>
    <w:rsid w:val="2AB07186"/>
    <w:rsid w:val="2B3B001F"/>
    <w:rsid w:val="2B5F286F"/>
    <w:rsid w:val="2B845A56"/>
    <w:rsid w:val="2BCE466D"/>
    <w:rsid w:val="2C4B1F3B"/>
    <w:rsid w:val="2C573165"/>
    <w:rsid w:val="2C9C0080"/>
    <w:rsid w:val="2C9D35E2"/>
    <w:rsid w:val="2C9E14C8"/>
    <w:rsid w:val="2D2D4838"/>
    <w:rsid w:val="2D3065A4"/>
    <w:rsid w:val="2DC474AE"/>
    <w:rsid w:val="2DE7692E"/>
    <w:rsid w:val="2DEF28F4"/>
    <w:rsid w:val="2E2C2534"/>
    <w:rsid w:val="2E391E3D"/>
    <w:rsid w:val="2E46316B"/>
    <w:rsid w:val="2E4A0F88"/>
    <w:rsid w:val="2EF76100"/>
    <w:rsid w:val="2FCF70A7"/>
    <w:rsid w:val="2FE9650C"/>
    <w:rsid w:val="2FFB2628"/>
    <w:rsid w:val="30054682"/>
    <w:rsid w:val="308466CB"/>
    <w:rsid w:val="30F76E3C"/>
    <w:rsid w:val="30FF2D81"/>
    <w:rsid w:val="314E654E"/>
    <w:rsid w:val="31676E9C"/>
    <w:rsid w:val="31C97B5C"/>
    <w:rsid w:val="32320DA0"/>
    <w:rsid w:val="327356F8"/>
    <w:rsid w:val="32803B16"/>
    <w:rsid w:val="32916A1B"/>
    <w:rsid w:val="32A05705"/>
    <w:rsid w:val="33ED7C6A"/>
    <w:rsid w:val="349415D2"/>
    <w:rsid w:val="34A7214F"/>
    <w:rsid w:val="34AE2E07"/>
    <w:rsid w:val="34B942DF"/>
    <w:rsid w:val="34D47A91"/>
    <w:rsid w:val="35C53730"/>
    <w:rsid w:val="35F85013"/>
    <w:rsid w:val="35FE7CFB"/>
    <w:rsid w:val="3608335F"/>
    <w:rsid w:val="362D76C4"/>
    <w:rsid w:val="36967233"/>
    <w:rsid w:val="369C575F"/>
    <w:rsid w:val="36D94170"/>
    <w:rsid w:val="379677FE"/>
    <w:rsid w:val="37FB37DE"/>
    <w:rsid w:val="38481673"/>
    <w:rsid w:val="386F0F64"/>
    <w:rsid w:val="38C0426D"/>
    <w:rsid w:val="38DE47DB"/>
    <w:rsid w:val="39267208"/>
    <w:rsid w:val="393C0958"/>
    <w:rsid w:val="39521C90"/>
    <w:rsid w:val="39AA28A9"/>
    <w:rsid w:val="39DB58D9"/>
    <w:rsid w:val="3A095B6D"/>
    <w:rsid w:val="3A7925C1"/>
    <w:rsid w:val="3AD82A18"/>
    <w:rsid w:val="3BCD3ED6"/>
    <w:rsid w:val="3C0563C4"/>
    <w:rsid w:val="3C5E4CCB"/>
    <w:rsid w:val="3CF70B13"/>
    <w:rsid w:val="3D1C2477"/>
    <w:rsid w:val="3D6570E7"/>
    <w:rsid w:val="3DDE1B29"/>
    <w:rsid w:val="3DFD29C3"/>
    <w:rsid w:val="3E6F6847"/>
    <w:rsid w:val="3E777408"/>
    <w:rsid w:val="3E8818B2"/>
    <w:rsid w:val="3EE83833"/>
    <w:rsid w:val="3EEE2A6C"/>
    <w:rsid w:val="3F274CB8"/>
    <w:rsid w:val="3FA159BA"/>
    <w:rsid w:val="3FF31132"/>
    <w:rsid w:val="3FF5277C"/>
    <w:rsid w:val="40A05603"/>
    <w:rsid w:val="40DE2532"/>
    <w:rsid w:val="414671CE"/>
    <w:rsid w:val="414808AC"/>
    <w:rsid w:val="418C5841"/>
    <w:rsid w:val="41CE6F2F"/>
    <w:rsid w:val="41FA4539"/>
    <w:rsid w:val="420A3365"/>
    <w:rsid w:val="42173402"/>
    <w:rsid w:val="42251E34"/>
    <w:rsid w:val="42950B66"/>
    <w:rsid w:val="431B785A"/>
    <w:rsid w:val="437A56EC"/>
    <w:rsid w:val="437F745B"/>
    <w:rsid w:val="439D5EC7"/>
    <w:rsid w:val="43FD579C"/>
    <w:rsid w:val="4450177E"/>
    <w:rsid w:val="44CF37EC"/>
    <w:rsid w:val="45087E1B"/>
    <w:rsid w:val="451A18BF"/>
    <w:rsid w:val="45A262FA"/>
    <w:rsid w:val="45C655A1"/>
    <w:rsid w:val="464833CA"/>
    <w:rsid w:val="466C6E47"/>
    <w:rsid w:val="46B32A2C"/>
    <w:rsid w:val="46FF4B1D"/>
    <w:rsid w:val="47C526E6"/>
    <w:rsid w:val="480126D1"/>
    <w:rsid w:val="48060812"/>
    <w:rsid w:val="482F37D1"/>
    <w:rsid w:val="4844614C"/>
    <w:rsid w:val="48783C7B"/>
    <w:rsid w:val="48A62D5F"/>
    <w:rsid w:val="48C01EAC"/>
    <w:rsid w:val="49B809C2"/>
    <w:rsid w:val="49BD36F8"/>
    <w:rsid w:val="49DC410D"/>
    <w:rsid w:val="4A2C4A7B"/>
    <w:rsid w:val="4AA14BC2"/>
    <w:rsid w:val="4B44185E"/>
    <w:rsid w:val="4B834919"/>
    <w:rsid w:val="4B942D0B"/>
    <w:rsid w:val="4C1C1E57"/>
    <w:rsid w:val="4C2706A6"/>
    <w:rsid w:val="4CA47260"/>
    <w:rsid w:val="4CBA45AA"/>
    <w:rsid w:val="4CD13C01"/>
    <w:rsid w:val="4CF82039"/>
    <w:rsid w:val="4D382BA6"/>
    <w:rsid w:val="4DE31B3E"/>
    <w:rsid w:val="4DFE53F8"/>
    <w:rsid w:val="4E607CBB"/>
    <w:rsid w:val="4EAF3A15"/>
    <w:rsid w:val="4EEE7080"/>
    <w:rsid w:val="4EF91C00"/>
    <w:rsid w:val="5068300C"/>
    <w:rsid w:val="511358D0"/>
    <w:rsid w:val="51343C3A"/>
    <w:rsid w:val="51404619"/>
    <w:rsid w:val="51652622"/>
    <w:rsid w:val="518B0C3D"/>
    <w:rsid w:val="52B11E43"/>
    <w:rsid w:val="52C03195"/>
    <w:rsid w:val="52C36337"/>
    <w:rsid w:val="53E75353"/>
    <w:rsid w:val="53F411E2"/>
    <w:rsid w:val="544138DE"/>
    <w:rsid w:val="54524ED7"/>
    <w:rsid w:val="546A1534"/>
    <w:rsid w:val="54897E8F"/>
    <w:rsid w:val="5496603C"/>
    <w:rsid w:val="54A330CA"/>
    <w:rsid w:val="54A47D88"/>
    <w:rsid w:val="55156126"/>
    <w:rsid w:val="55745E87"/>
    <w:rsid w:val="559114C7"/>
    <w:rsid w:val="55CD7039"/>
    <w:rsid w:val="55F032B7"/>
    <w:rsid w:val="567D48AD"/>
    <w:rsid w:val="56AF3E7B"/>
    <w:rsid w:val="5728636B"/>
    <w:rsid w:val="57491974"/>
    <w:rsid w:val="5757570F"/>
    <w:rsid w:val="57D60366"/>
    <w:rsid w:val="57EB555F"/>
    <w:rsid w:val="586F4F77"/>
    <w:rsid w:val="58AE4D77"/>
    <w:rsid w:val="58C657A8"/>
    <w:rsid w:val="58C851DE"/>
    <w:rsid w:val="59244FF3"/>
    <w:rsid w:val="59736E4A"/>
    <w:rsid w:val="597A3613"/>
    <w:rsid w:val="59C9446E"/>
    <w:rsid w:val="59D07866"/>
    <w:rsid w:val="5A00216E"/>
    <w:rsid w:val="5A273E79"/>
    <w:rsid w:val="5A2B3D7F"/>
    <w:rsid w:val="5A4E7E7D"/>
    <w:rsid w:val="5A7E1A60"/>
    <w:rsid w:val="5AD42BA3"/>
    <w:rsid w:val="5B7F11FC"/>
    <w:rsid w:val="5C0A3AEB"/>
    <w:rsid w:val="5C3D2A49"/>
    <w:rsid w:val="5C6953B1"/>
    <w:rsid w:val="5C880C09"/>
    <w:rsid w:val="5CCB24CD"/>
    <w:rsid w:val="5CD5387F"/>
    <w:rsid w:val="5CEE3CF8"/>
    <w:rsid w:val="5D677EA5"/>
    <w:rsid w:val="5DA03FFD"/>
    <w:rsid w:val="5E2D3AAA"/>
    <w:rsid w:val="5E8C05AB"/>
    <w:rsid w:val="5E8D4732"/>
    <w:rsid w:val="5F2865A5"/>
    <w:rsid w:val="5F640A21"/>
    <w:rsid w:val="5FA55846"/>
    <w:rsid w:val="607E026D"/>
    <w:rsid w:val="610C64B4"/>
    <w:rsid w:val="61643CA5"/>
    <w:rsid w:val="6168214A"/>
    <w:rsid w:val="61922CD9"/>
    <w:rsid w:val="61CC1AB0"/>
    <w:rsid w:val="62224251"/>
    <w:rsid w:val="62325AA1"/>
    <w:rsid w:val="62527C59"/>
    <w:rsid w:val="626951F5"/>
    <w:rsid w:val="62775FE3"/>
    <w:rsid w:val="62937B6A"/>
    <w:rsid w:val="629E2B9B"/>
    <w:rsid w:val="62BB27F9"/>
    <w:rsid w:val="630A0BF6"/>
    <w:rsid w:val="63726012"/>
    <w:rsid w:val="637F60C4"/>
    <w:rsid w:val="63AC5F89"/>
    <w:rsid w:val="643A075F"/>
    <w:rsid w:val="648E4BFF"/>
    <w:rsid w:val="64950163"/>
    <w:rsid w:val="652B27BD"/>
    <w:rsid w:val="659B0ED3"/>
    <w:rsid w:val="65B911E2"/>
    <w:rsid w:val="65F115D8"/>
    <w:rsid w:val="66D83A56"/>
    <w:rsid w:val="68D86F67"/>
    <w:rsid w:val="69483F8E"/>
    <w:rsid w:val="69684A38"/>
    <w:rsid w:val="696F5CA7"/>
    <w:rsid w:val="6A3B6D29"/>
    <w:rsid w:val="6A8956C8"/>
    <w:rsid w:val="6AAB07AD"/>
    <w:rsid w:val="6B4B06E0"/>
    <w:rsid w:val="6B661841"/>
    <w:rsid w:val="6B670405"/>
    <w:rsid w:val="6B946D4C"/>
    <w:rsid w:val="6BE27B3D"/>
    <w:rsid w:val="6C4C4861"/>
    <w:rsid w:val="6C717C66"/>
    <w:rsid w:val="6C7B6684"/>
    <w:rsid w:val="6CAD17B8"/>
    <w:rsid w:val="6D16332A"/>
    <w:rsid w:val="6D3B41C5"/>
    <w:rsid w:val="6D5E1016"/>
    <w:rsid w:val="6D6042BA"/>
    <w:rsid w:val="6DC71C50"/>
    <w:rsid w:val="6DCA6C5B"/>
    <w:rsid w:val="6DCB32CF"/>
    <w:rsid w:val="6E17403E"/>
    <w:rsid w:val="6E2629A3"/>
    <w:rsid w:val="6EDC2FBE"/>
    <w:rsid w:val="6F3707DE"/>
    <w:rsid w:val="6F466A3A"/>
    <w:rsid w:val="6FA629DD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F840F4"/>
    <w:rsid w:val="7201548B"/>
    <w:rsid w:val="721A2C64"/>
    <w:rsid w:val="724A00FF"/>
    <w:rsid w:val="72917FB6"/>
    <w:rsid w:val="72FE0BBA"/>
    <w:rsid w:val="738404D5"/>
    <w:rsid w:val="73BB05CB"/>
    <w:rsid w:val="73D0175C"/>
    <w:rsid w:val="743117A6"/>
    <w:rsid w:val="7433375B"/>
    <w:rsid w:val="74652F10"/>
    <w:rsid w:val="749A63DC"/>
    <w:rsid w:val="74E32441"/>
    <w:rsid w:val="74F1554D"/>
    <w:rsid w:val="75971ECA"/>
    <w:rsid w:val="75B504C9"/>
    <w:rsid w:val="7612005C"/>
    <w:rsid w:val="76FB6CA6"/>
    <w:rsid w:val="77615E28"/>
    <w:rsid w:val="7776385E"/>
    <w:rsid w:val="777C76A1"/>
    <w:rsid w:val="778D5640"/>
    <w:rsid w:val="77E331A0"/>
    <w:rsid w:val="7852782E"/>
    <w:rsid w:val="78693C1D"/>
    <w:rsid w:val="788F17E4"/>
    <w:rsid w:val="78C473FB"/>
    <w:rsid w:val="799778E4"/>
    <w:rsid w:val="79B53EEF"/>
    <w:rsid w:val="79B823CB"/>
    <w:rsid w:val="7A6817E1"/>
    <w:rsid w:val="7AAB17CC"/>
    <w:rsid w:val="7AC773DD"/>
    <w:rsid w:val="7AE27241"/>
    <w:rsid w:val="7B72799A"/>
    <w:rsid w:val="7BC55B1F"/>
    <w:rsid w:val="7BD77279"/>
    <w:rsid w:val="7C0F03F0"/>
    <w:rsid w:val="7C24163F"/>
    <w:rsid w:val="7C932D5D"/>
    <w:rsid w:val="7CB91E5C"/>
    <w:rsid w:val="7D3D6D2C"/>
    <w:rsid w:val="7DA87F25"/>
    <w:rsid w:val="7DAD4765"/>
    <w:rsid w:val="7DF57F39"/>
    <w:rsid w:val="7E27387D"/>
    <w:rsid w:val="7EA22C51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99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link w:val="93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msoins"/>
    <w:qFormat/>
    <w:uiPriority w:val="0"/>
  </w:style>
  <w:style w:type="paragraph" w:styleId="86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8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8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89">
    <w:name w:val="标题 4 字符"/>
    <w:basedOn w:val="44"/>
    <w:link w:val="5"/>
    <w:qFormat/>
    <w:uiPriority w:val="99"/>
    <w:rPr>
      <w:rFonts w:hint="default" w:ascii="Arial" w:hAnsi="Arial" w:cs="Arial"/>
      <w:sz w:val="24"/>
      <w:lang w:val="en-US" w:eastAsia="ko"/>
    </w:rPr>
  </w:style>
  <w:style w:type="character" w:customStyle="1" w:styleId="90">
    <w:name w:val="TAL Char"/>
    <w:basedOn w:val="44"/>
    <w:qFormat/>
    <w:uiPriority w:val="0"/>
    <w:rPr>
      <w:rFonts w:hint="default" w:ascii="Arial" w:hAnsi="Arial" w:cs="Arial"/>
      <w:sz w:val="18"/>
      <w:lang w:val="en-US" w:eastAsia="ko"/>
    </w:rPr>
  </w:style>
  <w:style w:type="character" w:customStyle="1" w:styleId="91">
    <w:name w:val="TAH Char"/>
    <w:basedOn w:val="44"/>
    <w:qFormat/>
    <w:uiPriority w:val="0"/>
    <w:rPr>
      <w:rFonts w:hint="default" w:ascii="Arial" w:hAnsi="Arial" w:cs="Arial"/>
      <w:b/>
      <w:sz w:val="18"/>
      <w:lang w:val="en-US" w:eastAsia="ko"/>
    </w:rPr>
  </w:style>
  <w:style w:type="character" w:customStyle="1" w:styleId="92">
    <w:name w:val="标题 3 字符"/>
    <w:basedOn w:val="44"/>
    <w:link w:val="4"/>
    <w:qFormat/>
    <w:uiPriority w:val="0"/>
    <w:rPr>
      <w:b/>
      <w:sz w:val="32"/>
      <w:szCs w:val="32"/>
      <w:lang w:val="en-US" w:eastAsia="ko"/>
    </w:rPr>
  </w:style>
  <w:style w:type="character" w:customStyle="1" w:styleId="93">
    <w:name w:val="TAC Char"/>
    <w:link w:val="53"/>
    <w:qFormat/>
    <w:uiPriority w:val="0"/>
    <w:rPr>
      <w:rFonts w:ascii="Arial" w:hAnsi="Arial"/>
      <w:sz w:val="18"/>
      <w:szCs w:val="24"/>
    </w:rPr>
  </w:style>
  <w:style w:type="character" w:customStyle="1" w:styleId="94">
    <w:name w:val="B1 Char"/>
    <w:link w:val="76"/>
    <w:qFormat/>
    <w:uiPriority w:val="0"/>
    <w:rPr>
      <w:sz w:val="24"/>
      <w:szCs w:val="24"/>
    </w:rPr>
  </w:style>
  <w:style w:type="character" w:customStyle="1" w:styleId="95">
    <w:name w:val="TH Char"/>
    <w:link w:val="56"/>
    <w:qFormat/>
    <w:uiPriority w:val="0"/>
    <w:rPr>
      <w:rFonts w:ascii="Arial" w:hAnsi="Arial"/>
      <w:b/>
      <w:sz w:val="24"/>
      <w:szCs w:val="24"/>
    </w:rPr>
  </w:style>
  <w:style w:type="character" w:customStyle="1" w:styleId="96">
    <w:name w:val="TF Char"/>
    <w:link w:val="55"/>
    <w:qFormat/>
    <w:uiPriority w:val="0"/>
    <w:rPr>
      <w:rFonts w:ascii="Arial" w:hAnsi="Arial"/>
      <w:b/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B7393-EFBD-4052-9C49-112856F894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1393</Words>
  <Characters>7942</Characters>
  <Lines>66</Lines>
  <Paragraphs>18</Paragraphs>
  <TotalTime>3</TotalTime>
  <ScaleCrop>false</ScaleCrop>
  <LinksUpToDate>false</LinksUpToDate>
  <CharactersWithSpaces>9317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2024-02-01T10:52:00Z</dcterms:created>
  <dc:creator>Michael Sanders, John M Meredith</dc:creator>
  <cp:lastModifiedBy>ZTE - Dapeng</cp:lastModifiedBy>
  <cp:lastPrinted>2411-12-31T15:59:00Z</cp:lastPrinted>
  <dcterms:modified xsi:type="dcterms:W3CDTF">2024-02-19T12:49:13Z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_DocHome">
    <vt:i4>541320059</vt:i4>
  </property>
  <property fmtid="{D5CDD505-2E9C-101B-9397-08002B2CF9AE}" pid="23" name="ICV">
    <vt:lpwstr>CF150005E29B42B49C427AD010A6F318</vt:lpwstr>
  </property>
</Properties>
</file>